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053E8B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7E43D4">
        <w:rPr>
          <w:rFonts w:eastAsia="Arial Unicode MS" w:cs="Arial"/>
          <w:bCs/>
          <w:sz w:val="24"/>
        </w:rPr>
        <w:t>1619</w:t>
      </w:r>
    </w:p>
    <w:p w14:paraId="03EC003B" w14:textId="7D26C68D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7E43D4">
        <w:rPr>
          <w:rFonts w:eastAsia="Arial Unicode MS" w:cs="Arial"/>
          <w:bCs/>
        </w:rPr>
        <w:t>240</w:t>
      </w:r>
      <w:r w:rsidR="007E43D4">
        <w:rPr>
          <w:rFonts w:eastAsia="Arial Unicode MS" w:cs="Arial"/>
          <w:bCs/>
        </w:rPr>
        <w:t>1288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6C6A63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DA1C8C">
        <w:rPr>
          <w:rFonts w:ascii="Arial" w:hAnsi="Arial" w:cs="Arial"/>
          <w:b/>
        </w:rPr>
        <w:t>, Apple</w:t>
      </w:r>
      <w:r w:rsidR="00ED45CB">
        <w:rPr>
          <w:rFonts w:ascii="Arial" w:hAnsi="Arial" w:cs="Arial"/>
          <w:b/>
        </w:rPr>
        <w:t>, Charter Communications</w:t>
      </w:r>
      <w:r w:rsidR="00AA58B3">
        <w:rPr>
          <w:rFonts w:ascii="Arial" w:hAnsi="Arial" w:cs="Arial"/>
          <w:b/>
        </w:rPr>
        <w:t>, Nokia, Nokia Shanghai Bell</w:t>
      </w:r>
      <w:r w:rsidR="00AF70ED">
        <w:rPr>
          <w:rFonts w:ascii="Arial" w:hAnsi="Arial" w:cs="Arial"/>
          <w:b/>
        </w:rPr>
        <w:t>, Ericsson</w:t>
      </w:r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0ECA0F8A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</w:t>
      </w:r>
      <w:r w:rsidR="00ED45CB">
        <w:rPr>
          <w:rFonts w:ascii="Times New Roman" w:hAnsi="Times New Roman"/>
          <w:sz w:val="20"/>
          <w:lang w:eastAsia="ko-KR"/>
        </w:rPr>
        <w:t xml:space="preserve">2, </w:t>
      </w:r>
      <w:r w:rsidRPr="0005336D">
        <w:rPr>
          <w:rFonts w:ascii="Times New Roman" w:hAnsi="Times New Roman"/>
          <w:sz w:val="20"/>
          <w:lang w:eastAsia="ko-KR"/>
        </w:rPr>
        <w:t>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3775B48" w14:textId="4522AF51" w:rsidR="00E47354" w:rsidRDefault="00E47354" w:rsidP="00DA1C8C">
      <w:pPr>
        <w:pStyle w:val="Heading3"/>
      </w:pPr>
      <w:bookmarkStart w:id="1" w:name="_Toc151529962"/>
      <w:bookmarkEnd w:id="0"/>
      <w:r w:rsidRPr="00DA1C8C">
        <w:t>4.1</w:t>
      </w:r>
      <w:r w:rsidR="00DA1C8C" w:rsidRPr="00DA1C8C">
        <w:t>.2</w:t>
      </w:r>
      <w:r w:rsidRPr="00DA1C8C">
        <w:tab/>
        <w:t>Architectural Assumptions</w:t>
      </w:r>
      <w:bookmarkEnd w:id="1"/>
      <w:r w:rsidR="00DA1C8C" w:rsidRPr="00DA1C8C">
        <w:t xml:space="preserve"> for ATSSS_Ph4</w:t>
      </w:r>
    </w:p>
    <w:p w14:paraId="37342418" w14:textId="2B52A41F" w:rsidR="00D54D92" w:rsidRPr="00D54D92" w:rsidRDefault="00D54D92" w:rsidP="00D54D92">
      <w:r>
        <w:t>The following general assumptions apply</w:t>
      </w:r>
      <w:r w:rsidRPr="00D54D92">
        <w:t>:</w:t>
      </w:r>
    </w:p>
    <w:p w14:paraId="61E242F1" w14:textId="77777777" w:rsidR="00DA1C8C" w:rsidRDefault="00DA1C8C" w:rsidP="00DA1C8C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137174">
        <w:t xml:space="preserve">The </w:t>
      </w:r>
      <w:r>
        <w:t>Rel-18 ATSSS</w:t>
      </w:r>
      <w:r w:rsidRPr="00137174">
        <w:t xml:space="preserve"> as specified in TS 23.501 [a], TS 23.502 [b], and TS 23.503 [c] are regarded as the baseline for this study.</w:t>
      </w:r>
    </w:p>
    <w:p w14:paraId="30FE80B9" w14:textId="77777777" w:rsidR="0033438F" w:rsidRPr="007E43D4" w:rsidRDefault="0033438F" w:rsidP="0033438F">
      <w:pPr>
        <w:rPr>
          <w:lang w:val="en-US"/>
        </w:rPr>
      </w:pPr>
      <w:r>
        <w:rPr>
          <w:lang w:val="en-US"/>
        </w:rPr>
        <w:t xml:space="preserve">The following assumptions apply to </w:t>
      </w:r>
      <w:r>
        <w:t>alternative architecture and system level enhancements for</w:t>
      </w:r>
      <w:r w:rsidRPr="00504AB3">
        <w:t xml:space="preserve"> </w:t>
      </w:r>
      <w:r>
        <w:t xml:space="preserve">ATSSS that do not </w:t>
      </w:r>
      <w:r w:rsidRPr="008E2E33">
        <w:t xml:space="preserve">require </w:t>
      </w:r>
      <w:r>
        <w:t xml:space="preserve">the existing non-3GPP </w:t>
      </w:r>
      <w:r w:rsidRPr="007E43D4">
        <w:t>interworking/gateway function:</w:t>
      </w:r>
    </w:p>
    <w:p w14:paraId="114B0D87" w14:textId="4F9348AC" w:rsidR="00E47354" w:rsidRPr="007E43D4" w:rsidRDefault="00E47354" w:rsidP="00E47354">
      <w:pPr>
        <w:pStyle w:val="B10"/>
        <w:rPr>
          <w:lang w:val="en-US"/>
        </w:rPr>
      </w:pPr>
      <w:r w:rsidRPr="007E43D4">
        <w:t>-</w:t>
      </w:r>
      <w:r w:rsidRPr="007E43D4">
        <w:tab/>
      </w:r>
      <w:r w:rsidR="00A43390" w:rsidRPr="007E43D4">
        <w:rPr>
          <w:lang w:val="en-US"/>
        </w:rPr>
        <w:t xml:space="preserve">Current </w:t>
      </w:r>
      <w:r w:rsidRPr="007E43D4">
        <w:t xml:space="preserve">Non-3GPP InterWorking Function (N3IWF) </w:t>
      </w:r>
      <w:r w:rsidRPr="007E43D4">
        <w:rPr>
          <w:lang w:val="en-US"/>
        </w:rPr>
        <w:t>and</w:t>
      </w:r>
      <w:r w:rsidRPr="007E43D4">
        <w:t xml:space="preserve"> Trusted Non-3GPP Gateway Function (TNGF)</w:t>
      </w:r>
      <w:r w:rsidRPr="007E43D4">
        <w:rPr>
          <w:lang w:val="en-US"/>
        </w:rPr>
        <w:t xml:space="preserve"> are not used </w:t>
      </w:r>
      <w:r w:rsidR="00A43390" w:rsidRPr="007E43D4">
        <w:rPr>
          <w:lang w:val="en-US"/>
        </w:rPr>
        <w:t>to simplify the operation over non-3GPP access</w:t>
      </w:r>
      <w:r w:rsidRPr="007E43D4">
        <w:rPr>
          <w:lang w:val="en-US"/>
        </w:rPr>
        <w:t>.</w:t>
      </w:r>
    </w:p>
    <w:p w14:paraId="1FB0D92C" w14:textId="668EC249" w:rsidR="00AB6FB7" w:rsidRPr="007E43D4" w:rsidRDefault="00AB6FB7" w:rsidP="00AB6FB7">
      <w:pPr>
        <w:rPr>
          <w:lang w:val="en-US" w:eastAsia="zh-CN"/>
        </w:rPr>
      </w:pPr>
      <w:r w:rsidRPr="007E43D4">
        <w:rPr>
          <w:lang w:val="en-US"/>
        </w:rPr>
        <w:t>The following assumptions apply to MPQUIC</w:t>
      </w:r>
      <w:r w:rsidR="00AF70ED" w:rsidRPr="007E43D4">
        <w:rPr>
          <w:lang w:val="en-US"/>
        </w:rPr>
        <w:t xml:space="preserve"> for non-UDP traffic</w:t>
      </w:r>
      <w:r w:rsidRPr="007E43D4">
        <w:rPr>
          <w:lang w:val="en-US"/>
        </w:rPr>
        <w:t>:</w:t>
      </w:r>
    </w:p>
    <w:p w14:paraId="56A46F58" w14:textId="3890A258" w:rsidR="00ED45CB" w:rsidRPr="007E43D4" w:rsidRDefault="00ED45CB" w:rsidP="00ED45CB">
      <w:pPr>
        <w:pStyle w:val="B10"/>
        <w:rPr>
          <w:rFonts w:eastAsiaTheme="minorEastAsia"/>
          <w:lang w:eastAsia="zh-CN"/>
        </w:rPr>
      </w:pPr>
      <w:r w:rsidRPr="007E43D4">
        <w:rPr>
          <w:rFonts w:eastAsiaTheme="minorEastAsia"/>
          <w:lang w:val="en-US" w:eastAsia="zh-CN"/>
        </w:rPr>
        <w:t>-</w:t>
      </w:r>
      <w:r w:rsidRPr="007E43D4">
        <w:rPr>
          <w:rFonts w:eastAsiaTheme="minorEastAsia"/>
          <w:lang w:val="en-US" w:eastAsia="zh-CN"/>
        </w:rPr>
        <w:tab/>
      </w:r>
      <w:r w:rsidRPr="007E43D4">
        <w:rPr>
          <w:rFonts w:eastAsiaTheme="minorEastAsia"/>
          <w:lang w:eastAsia="zh-CN"/>
        </w:rPr>
        <w:t>Any new steering functionality shall be based on the multipath extensions of the QUIC protocols as defined in IETF.</w:t>
      </w:r>
    </w:p>
    <w:p w14:paraId="0D4E669F" w14:textId="77777777" w:rsidR="00BC3F82" w:rsidRPr="007E43D4" w:rsidRDefault="00BC3F82" w:rsidP="00BC3F82">
      <w:pPr>
        <w:ind w:left="568" w:hanging="284"/>
        <w:rPr>
          <w:rFonts w:eastAsia="MS Mincho"/>
          <w:lang w:eastAsia="en-GB"/>
        </w:rPr>
      </w:pPr>
      <w:r w:rsidRPr="007E43D4">
        <w:rPr>
          <w:rFonts w:eastAsia="MS Mincho"/>
          <w:lang w:val="en-US" w:eastAsia="zh-CN"/>
        </w:rPr>
        <w:t>-</w:t>
      </w:r>
      <w:r w:rsidRPr="007E43D4">
        <w:rPr>
          <w:rFonts w:eastAsia="MS Mincho"/>
          <w:lang w:val="en-US" w:eastAsia="zh-CN"/>
        </w:rPr>
        <w:tab/>
        <w:t>All ATSSS steering functionalities (existing and new) shall reside in the UE and in an UPF. Steering functionalities outside either of the UE or the UPF are not considered.</w:t>
      </w:r>
    </w:p>
    <w:p w14:paraId="5B6A6AD1" w14:textId="77777777" w:rsidR="00AF70ED" w:rsidRPr="007E43D4" w:rsidRDefault="00AF70ED" w:rsidP="00AF70ED">
      <w:pPr>
        <w:pStyle w:val="B10"/>
        <w:rPr>
          <w:lang w:val="en-US"/>
        </w:rPr>
      </w:pPr>
      <w:r w:rsidRPr="007E43D4">
        <w:rPr>
          <w:lang w:val="en-US"/>
        </w:rPr>
        <w:t xml:space="preserve">- </w:t>
      </w:r>
      <w:r w:rsidRPr="007E43D4">
        <w:rPr>
          <w:lang w:val="en-US"/>
        </w:rPr>
        <w:tab/>
        <w:t>Any new ATSSS capabilities specified for UE would be applicable for ATSSS-capable 5G-RGs, if endorsed by BFF and/or CableLabs; FN-RG are not in the scope of the study.</w:t>
      </w:r>
    </w:p>
    <w:p w14:paraId="090869F5" w14:textId="6F9BFD96" w:rsidR="00E47354" w:rsidRPr="007E43D4" w:rsidRDefault="00E47354" w:rsidP="00DA1C8C">
      <w:pPr>
        <w:pStyle w:val="Heading3"/>
      </w:pPr>
      <w:bookmarkStart w:id="2" w:name="_Toc151529963"/>
      <w:r w:rsidRPr="007E43D4">
        <w:t>4.2</w:t>
      </w:r>
      <w:r w:rsidR="00DA1C8C" w:rsidRPr="007E43D4">
        <w:t>.2</w:t>
      </w:r>
      <w:r w:rsidRPr="007E43D4">
        <w:tab/>
        <w:t>Architectural Requirements</w:t>
      </w:r>
      <w:bookmarkEnd w:id="2"/>
      <w:r w:rsidR="00DA1C8C" w:rsidRPr="007E43D4">
        <w:t xml:space="preserve"> for ATSSS_Ph4</w:t>
      </w:r>
    </w:p>
    <w:p w14:paraId="3D063286" w14:textId="1B126A1A" w:rsidR="00ED45CB" w:rsidRDefault="00ED45CB" w:rsidP="00ED45CB">
      <w:pPr>
        <w:pStyle w:val="B10"/>
        <w:rPr>
          <w:rFonts w:eastAsiaTheme="minorEastAsia"/>
          <w:lang w:eastAsia="zh-CN"/>
        </w:rPr>
      </w:pPr>
      <w:r w:rsidRPr="007E43D4">
        <w:rPr>
          <w:rFonts w:eastAsiaTheme="minorEastAsia"/>
          <w:lang w:val="en-US" w:eastAsia="zh-CN"/>
        </w:rPr>
        <w:t>-</w:t>
      </w:r>
      <w:r w:rsidRPr="007E43D4">
        <w:rPr>
          <w:rFonts w:eastAsiaTheme="minorEastAsia"/>
          <w:lang w:val="en-US" w:eastAsia="zh-CN"/>
        </w:rPr>
        <w:tab/>
      </w:r>
      <w:r w:rsidRPr="007E43D4">
        <w:rPr>
          <w:rFonts w:eastAsiaTheme="minorEastAsia"/>
          <w:lang w:eastAsia="zh-CN"/>
        </w:rPr>
        <w:t>New ATSSS capabilities shall either be able to co-exist with the existing ATSSS capabilities or any dependencies between new and existing capabilities</w:t>
      </w:r>
      <w:r w:rsidRPr="00ED45CB">
        <w:rPr>
          <w:rFonts w:eastAsiaTheme="minorEastAsia"/>
          <w:lang w:eastAsia="zh-CN"/>
        </w:rPr>
        <w:t xml:space="preserve"> shall be explicitly defined.</w:t>
      </w:r>
    </w:p>
    <w:p w14:paraId="6698B4AA" w14:textId="43FF87B6" w:rsidR="00ED45CB" w:rsidRDefault="00ED45CB" w:rsidP="00ED45CB">
      <w:pPr>
        <w:pStyle w:val="B10"/>
        <w:rPr>
          <w:rFonts w:eastAsiaTheme="minorEastAsia"/>
          <w:lang w:eastAsia="zh-CN"/>
        </w:rPr>
      </w:pPr>
      <w:r w:rsidRPr="00ED45CB">
        <w:rPr>
          <w:rFonts w:eastAsiaTheme="minorEastAsia" w:hint="eastAsia"/>
          <w:lang w:eastAsia="zh-CN"/>
        </w:rPr>
        <w:t>-</w:t>
      </w:r>
      <w:r w:rsidRPr="00ED45CB">
        <w:rPr>
          <w:rFonts w:eastAsiaTheme="minorEastAsia"/>
          <w:lang w:eastAsia="zh-CN"/>
        </w:rPr>
        <w:tab/>
        <w:t>The benefit and drawback of new solutions compar</w:t>
      </w:r>
      <w:r>
        <w:rPr>
          <w:rFonts w:eastAsiaTheme="minorEastAsia"/>
          <w:lang w:val="en-US" w:eastAsia="zh-CN"/>
        </w:rPr>
        <w:t>ed</w:t>
      </w:r>
      <w:r w:rsidRPr="00ED45C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t>to</w:t>
      </w:r>
      <w:r w:rsidRPr="00ED45CB">
        <w:rPr>
          <w:rFonts w:eastAsiaTheme="minorEastAsia"/>
          <w:lang w:eastAsia="zh-CN"/>
        </w:rPr>
        <w:t xml:space="preserve"> existing TNGF</w:t>
      </w:r>
      <w:r>
        <w:rPr>
          <w:rFonts w:eastAsiaTheme="minorEastAsia"/>
          <w:lang w:val="en-US" w:eastAsia="zh-CN"/>
        </w:rPr>
        <w:t xml:space="preserve"> and </w:t>
      </w:r>
      <w:r w:rsidRPr="00ED45CB">
        <w:rPr>
          <w:rFonts w:eastAsiaTheme="minorEastAsia"/>
          <w:lang w:eastAsia="zh-CN"/>
        </w:rPr>
        <w:t xml:space="preserve">N3IWF shall be </w:t>
      </w:r>
      <w:r>
        <w:rPr>
          <w:rFonts w:eastAsiaTheme="minorEastAsia"/>
          <w:lang w:eastAsia="zh-CN"/>
        </w:rPr>
        <w:t>analyzed</w:t>
      </w:r>
      <w:r w:rsidRPr="00ED45CB">
        <w:rPr>
          <w:rFonts w:eastAsiaTheme="minorEastAsia"/>
          <w:lang w:eastAsia="zh-CN"/>
        </w:rPr>
        <w:t xml:space="preserve"> before any conclusion on WT#3.</w:t>
      </w:r>
    </w:p>
    <w:p w14:paraId="3B6EC16A" w14:textId="32B5A5A9" w:rsidR="004F5CBD" w:rsidRPr="004B2ECF" w:rsidRDefault="004F5CBD" w:rsidP="00ED45CB">
      <w:pPr>
        <w:pStyle w:val="B10"/>
        <w:rPr>
          <w:rFonts w:eastAsiaTheme="minorEastAsia"/>
          <w:lang w:eastAsia="zh-CN"/>
        </w:rPr>
      </w:pPr>
      <w:r w:rsidRPr="004F5CBD">
        <w:rPr>
          <w:rFonts w:eastAsiaTheme="minorEastAsia"/>
          <w:lang w:eastAsia="zh-CN"/>
        </w:rPr>
        <w:t>NOTE:</w:t>
      </w:r>
      <w:r w:rsidRPr="004F5CBD">
        <w:rPr>
          <w:rFonts w:eastAsiaTheme="minorEastAsia"/>
          <w:lang w:eastAsia="zh-CN"/>
        </w:rPr>
        <w:tab/>
        <w:t>Coordination with BBF and CableLabs will take place as needed during the study.</w:t>
      </w:r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24527A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16200" w14:textId="77777777" w:rsidR="00EC40B3" w:rsidRDefault="00EC40B3">
      <w:r>
        <w:separator/>
      </w:r>
    </w:p>
  </w:endnote>
  <w:endnote w:type="continuationSeparator" w:id="0">
    <w:p w14:paraId="5DB4D5E4" w14:textId="77777777" w:rsidR="00EC40B3" w:rsidRDefault="00EC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F6590" w14:textId="77777777" w:rsidR="00EC40B3" w:rsidRDefault="00EC40B3">
      <w:r>
        <w:separator/>
      </w:r>
    </w:p>
  </w:footnote>
  <w:footnote w:type="continuationSeparator" w:id="0">
    <w:p w14:paraId="10054B29" w14:textId="77777777" w:rsidR="00EC40B3" w:rsidRDefault="00EC4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307467856">
    <w:abstractNumId w:val="1"/>
  </w:num>
  <w:num w:numId="2" w16cid:durableId="306589837">
    <w:abstractNumId w:val="0"/>
  </w:num>
  <w:num w:numId="3" w16cid:durableId="2103407717">
    <w:abstractNumId w:val="2"/>
  </w:num>
  <w:num w:numId="4" w16cid:durableId="203780489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5FC2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C0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27A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38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31B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5CBD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B4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28F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BA9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9B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3D4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5C4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58AC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B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0537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EED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390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8B3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5F"/>
    <w:rsid w:val="00AB6FB7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3F82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0C1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35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E5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4D92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1AF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822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0B3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5CB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2DC61E-9D5C-436C-AAD1-73C617BAD9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337</Words>
  <Characters>1901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QC012501</cp:lastModifiedBy>
  <cp:revision>3</cp:revision>
  <cp:lastPrinted>2017-11-09T01:38:00Z</cp:lastPrinted>
  <dcterms:created xsi:type="dcterms:W3CDTF">2024-01-30T17:02:00Z</dcterms:created>
  <dcterms:modified xsi:type="dcterms:W3CDTF">2024-01-30T17:02:00Z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(3)YM17aGhABGpKz5ie9Ek5VdYMdAWBRV5qbVsLxaDR21tmMONYV0zu5sBBSbhdU1fH2fpV1Y2o
7ur+qyx71BvopoCn4rXqgSMfty6gtYHlGE/D7VNZASBVzQJSWrlWQwxcncIBwdm/pdy+4sgW
Xi9MmEo3079zTH1m/2wOE6b7J4pGWS4CO3q+eEdFJckLeSAi9iXtkala+MV+X6MBkZFoX1WH
fmtX0+WQFXmZbSVOfQ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xiecZWASiRWgjH3WVmxgcZK2y9hj2AVgLWDb7deX0nrHZfnZirP1m3
4d0AFXmdW8dFXccszviPKdqRBmwVee3rfTD0tHmA4jhV+EJXpxxhLDRlth/nlbHIfV6P6l28
nNGLmd2FjNSLjLy6tSkwDwYGkcg30DxKRNRJUW2SILF5N7/g7I12uxAn8BvgprF9YTP44ldS
Yn5aj2eaA3lxLmAUVVm4abGg5kAhR68A2e9m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2024-01-23T07:10:18Z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075042d1-7179-419f-8f0a-a03cab6f65a0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_2015_ms_pID_7253432">
    <vt:lpwstr>IuRRkXhV4Zo2oJrIYG2oB54=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1706154185</vt:lpwstr>
  </property>
</Properties>
</file>